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270608-П/2017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Мишинева Сергея Владимировича на нарушение его конституционных прав частью первой статьи 119 и частью первой статьи 120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С.В.Мишинева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119 УПК Российской Федерации правом на заявление ходатайств наделены подозреваемый, обвиняемый, его защитник, потерпевший, его законный представитель и представитель, частный обвинитель, эксперт, гражданский истец, гражданский ответчик, их представители, представитель администрации организации и иное лицо, права и законные интересы которых затронуты в ходе досудебного или судебного производства. При этом согласно пункту 9 статьи 5 того же Кодекса досудебным производством является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существу. Регулируя порядок разрешения ходатайств, Уголовно-процессуальный кодекс Российской Федерации прямо предусматривает, что ходатайство подлежит рассмотрению и разрешению непосредственно после его заявления; в случаях, когда немедленное принятие решения по ходатайству, заявленному в ходе предварительного расследования, невозможно, оно должно быть разрешено не позднее трех суток со дня его заявления (статья 121);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 (статья 122). Таким образом, оспариваемые законоположения неопределенности не содержат и не могут расцениваться как нарушающие права С.В.Мишинева в указанном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Мишинева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