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306454-П/2017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«Лидер» на нарушение конституционных прав и свобод пунктом 1 статьи 290 Гражданского кодекса Российской Федерации и частью 1 статьи 36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«Лидер»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 было изменено решение арбитражного суда первой инстанции и частично удовлетворены требования индивидуального предпринимателя к ООО «Лидер» о признании общим имуществом собственников помещений в нежилом здании ряда помещений.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290 ГК Российской Федерации и часть 1 статьи 36 Жилищного кодекса Российской Федерации, регулирующие имущественные отношения собственников помещений в многоквартирном доме, как призванные обеспечить баланс прав и законных интересов всех собственников помещений в здании и не препятствующие использованию некоторыми из них общего имущества здания в установленном законом порядке, не могут рассматриваться как нарушающие права ООО «Лидер» в указанном в жалобе аспекте. Установление же и оценка фактических обстоятельств конкретного дела, в том числе возможности применения оспариваемых норм по аналогии в деле с участием заявителя,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«Лидер»,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