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474904-П/2020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которому постановлением судьи от 18 апреля 2019 года, оставленным без изменения вышестоящими судами, в возмещении имущественного вреда в порядке реабилитации по уголовному делу отказано ввиду отсутствия к тому оснований, просит признать не соответствующими статьям 17 (части 1 и 2), 18, 21, 46 (части 1 и 2), 48, 49, 52 и 53 Конституции Российской Федерации статьи 133 «Основания возникновения права на реабилитацию», 135 «Возмещение имущественного вреда», 136 «Возмещение морального вреда», 397 «Вопросы, подлежащие рассмотрению судом при исполнении приговора» и 399 «Порядок 2 разрешения вопросов, связанных с исполнением приговора» УПК Российской Федерации. По утверждению Э.А.Гусейнова, оспариваемые нормы нарушают его права, поскольку исключают возможность обеспечения посредством правосудия защиты конституционных прав граждан в порядке реабилитации, не возлагая на суд, рассматривающий заявление реабилитированного лица о возмещении имущественного и морального вреда, обязанность удовлетворить заявленные требования, обеспечить участие адвоката по заявлению такого лица, содержащегося под стражей по другому делу, а также учесть принятые в отношении реабилитированного конкретные решения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уже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