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249277-П/2016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Ледовского Валерия Ивановича на нарушение его конституционных прав положениями статей 13, 33, 61, 198 и 329 Гражданского процессуального кодекса Российской Федерации и статьи 30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В.И.Ледовского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этими материалами не подтверждается применение оспариваемых В.И.Ледовским положений статей 33 и 61 ГПК Российской Федерации, а также статьи 30 Градостроительного кодекса Российской Федерации в конкретном деле с его участием, а потому данная жалоба в этой части не может быть признана допустимой. Как следует из содержания жалобы, нарушение своих конституционных прав, в том числе права на судебную защиту, положениями статей 13, 198 и 329 ГПК Российской Федерации заявитель усматривает в том, что при рассмотрении дела с его участием судьи, с его точки зрения, не подчинялись Конституции Российской Федерации и федеральному закону. Между тем разрешение данного вопроса предполагает проверку законности и обоснованности вынесенных по конкретному делу судебных постановлений, что не относится к компетенции Конституционного Суда Российской Федерации (статья 125 Конституции Российской Федерации и статья 3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Ледовского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