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Михаила Львовича на нарушение его конституционных прав пунктом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М.Л.Куликова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М.Л.Куликов, которому отказано в принятии искового заявления о возмещении вреда, причиненного действиями суда, оспаривает конституционность пункта 2 статьи 1070 ГК Российской Федерации, а фактически его положения, согласно которому вред, причиненный при осуществлении правосудия, возмещается в случае, если вина судьи установлена приговором суда, вступившим в законную силу. По мнению заявителя, оспариваемая норма противоречит статьям 1, 2, 4, 15, 16, 18, 24 и 45 Конституции Российской Федерации, поскольку она не 2 устанавливает основания и порядок возмещения вреда, причиненного незаконными действиями (или бездействием) суда (судьи), и не определяет подведомственность и подсудность дел в случаях, когда вина судьи установлена не приговором, а иным судебным решением.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2 статьи 1070 ГК Российской Федерации ранее уже являлось предметом рассмотрения Конституционного Суда Российской Федерации: в Постановлении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Михаила Львовича, поскольку по поставленному заявителем вопросу Конституционным Судом Российской Федерации ранее было вынесено постановление, сохраняющее свою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