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260826-П/2017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Бардышева Сергея Александровича на нарушение его конституционных прав частью первой статьи 326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С.А.Бардышева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первая статьи 326 УК Российской Федерации является нормой уголовного права и не регламентирует уголовно- процессуальные отношения, в том числе по вопросам признания лица потерпевшим, а потому не может расцениваться в качестве нарушающей права заявителя в обозначенном им аспекте. Соответственно, его жалоба, как не отвечающая критерию допустимости, закрепленному Федеральным конституционным законом «О Конституционном Суде Российской Федерации», не может быть принята Конституционным Судом Российской Федерации к рассмотрению.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Бардышева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