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500278-П/2020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Рогова Сергея Васильевича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С.В.Рогова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С.В.Рогов оспаривает конституционность статьи 1.5 «Презумпция невиновности», части 1 статьи 1.6 «Обеспечение законности при применении мер административного принуждения в связи с административным правонарушением», статьи 23.1 «Судьи», пункта 1 части 1 статьи 24.5 «Обстоятельства, исключающие производство по делу об административном правонарушении», статьи 26.1 «Обстоятельства, подлежащие выяснению по делу об административном правонарушении», части 1 статьи 28.7 «Административное расследование», статьи 29.1 «Подготовка к рассмотрению дела об административном правонарушении», 2 пунктов 2, 4 и 5 части 1 статьи 29.4 «Определение, постановление, выносимые при подготовке к рассмотрению дела об административном правонарушении», части 2 статьи 29.5 «Место рассмотрения дела об административном правонарушении», пункта 2 части 2 статьи 29.9 «Виды постановлений и определений по делу об административном правонарушении», пункта 5 части 1 и части 3 статьи 30.7 «Решение по жалобе на постановление по делу об административном правонарушении», пункта 3 части 2 статьи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мирового судьи от 20 июня 2018 года, оставленным без изменения вышестоящими судами, С.В.Рогов был признан виновным в совершении административного правонарушения, предусмотренного статьей 6.11 «Побои» КоАП Российской Федерации. Заявитель просит признать оспариваемые законоположения не соответствующими статьям 15 (части 1, 2 и 4), 17 (части 1 и 2), 18, 46 (часть 1), 47 (часть 1), 55 (часть 3) и 56 (часть 3) Конституции Российской Федерации, поскольку они, по его мнению, позволяют привлекать к административной ответственности с нарушением порядка рассмотрения дел об административных правонарушениях.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оспаривая конституционность положений Кодекса Российской Федерации об административных правонарушениях, С.В.Рогов утверждает, что протокол об административном правонарушении был составлен ненадлежащим образом, определение о направлении материалов дела на рассмотрение мировому судье было вынесено с нарушением требований, предъявляемых к его содержанию, само дело об 3 административном правонарушении было рассмотрено судьей, к подсудности которого оно не отнесено законом. Тем самым заявитель фактически выражает несогласие не с оспариваемым правовым регулированием, которое не предполагает возможности его произвольного применения, а с действиями и решениями, которые были совершены (приняты) в рамках производства по его делу об административном правонарушении. Между тем проверка их обоснованности, как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Рогова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