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489629-П/2020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«Вита Нова» на нарушение конституционных прав и свобод частью второй статьи 36 Федерального закона «О Музейном фонде Российской Федерации и музеях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ООО «Вита Нова»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«Вита Нова» оспаривает конституционность части второй статьи 36 Федерального закона от 26 мая 1996 года № 54-ФЗ «О Музейном фонде Российской Федерации и музеях в Российской Федерации», предусматривающей, что передача прав на использование в коммерческих целях воспроизведений музейных предметов и музейных коллекций, включенных в состав Музейного фонда Российской Федерации и находящихся в музеях в Российской Федерации, осуществляется музеями в порядке, установленном собственником музейных предметов и музейных коллекций. 2 Как следует из представленных материалов, постановлением арбитражного суда кассационной инстанции по иску музея с ООО «Вита Нова» взысканы убытки. Суд указал, что ответчик без согласия музея воспроизвел в книге музейные предметы, и согласился с выполненным истцом расчетом упущенной выгоды, основанным на ценах, утвержденных его приказом. Суд также согласился с выводом суда апелляционной инстанции о том, что отсутствие установленного порядка передачи прав на использование в коммерческих целях воспроизведений музейных предметов и музейных коллекций не ограничивает закрепленных законом полномочий музея. По мнению заявителя, оспариваемое положение противоречит статьям 10, 11 и 19 Конституции Российской Федерации, поскольку по смыслу, придаваемому ему правоприменительной практикой, оно позволяет делегировать музеям функции Министерства культуры Российской Федерации по установлению порядка передачи прав на использование в коммерческих целях воспроизведений музейных предметов и музейных коллекций, включенных в состав Музейного фонда Российской Федерации и находящихся в музеях в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 в части, предусматривающей установление собственником указанных в ней музейных предметов и музейных коллекций порядка передачи музеями прав на использование в коммерческих целях их воспроизведений, не регулирует порядок осуществления этого полномочия публичным собственником в лице конкретных органов и сама по себе не может расцениваться как нарушающая в обозначенном в жалобе аспекте конституционные права и свободы заявителя. Установление же и исследование фактических обстоятельств конкретного дела, оценка правильности применения судами норм права с учетом таких обстоятельств не относятся к компетенции Конституционного 3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«Вита Нова»,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