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424974-П/2019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1 части 1 статьи 128 и частью 1 статьи 222 Кодекса административного судопроизводства Российской Федерации, а также пунктом 2 части первой статьи 135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пункта 1 части 1 статьи 128 «Отказ в принятии административного искового заявления» и части 1 статьи 222 «Рассмотрение судом вопроса о принятии к производству суда административного искового заявления о признании незаконными решений, действий (бездействия) органа, организации, лица, наделенных государственными или иными публичными полномочиями» КАС Российской Федерации, а также пункта 2 части первой статьи 135 «Возвращение искового заявления» ГПК Российской Федерации. 2 По мнению заявителя, оспариваемые законоположения не соответствуют Конституции Российской Федерации, в частности ее статьям 18, 45 и 46 (части 1 и 2), поскольку не позволяют признавать незаконными действия (бездействие) судей судов общей юрисдикции, связанные с осуществлением правосудия.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