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353562-П/2018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Салават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городского округа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администрации городского округа город Салават Республики Башкортостан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 заявителя, приведенные им в обоснование своей позиции, свидетельствуют о том, что нарушение своих конституционных прав и свобод он связывает не с содержанием оспариваемых норм, а с неправильным, как он полагает, их применением (неприменением) судом при разрешении дела с его участием. Ссылки заявителя на нарушение его конституционных прав применением судами оспариваемых норм не свидетельствуют о постановке им вопроса о проверке этих норм на предмет соответствия указанным в жалобе статьям Конституции Российской Федерации, а его требования, по сути, сводятся к проверке законности и обоснованности судебных постановлений, принятых судом общей 3 юрисдикции по конкретному гражданскому делу, что не относится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городского округа город Салават Республики Башкортостан,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