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405482-П/2019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Ерченко Валерия Ивановича на нарушение его конституционных прав частью третьей статьи 329 и пунктом 1 части второй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В.И.Ерченко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В.И.Ерченко оспаривает конституционность примененных в деле с его участием части третьей статьи 329 «Постановление суда апелляционной инстанции» и пункта 1 части второй статьи 381 «Рассмотрение кассационных жалобы, представления» ГПК Российской Федерации. По мнению заявителя, оспариваемые законоположения противоречат статьям 19, 21 (часть 1), 24 (часть 2), 33, 37, 45, 46 (части 1 и 2), 48 и 123 (часть 3) Конституции Российской Федерации в той мере, в какой они позволяют суду исследовать и оценивать не все приведенные в 2 апелляционных и кассационных жалобах доводы, немотивированно отвергать 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329 ГПК Российской Федерации прямо обязывают суд указывать в определении суда мотивы, по которым суд пришел к своим выводам, и ссылку на законы, которыми суд руководствовался, предписывают суду апелляционной инстанции указывать в апелляционном определении краткое содержание обжалуемого решения суда первой инстанции, апелляционных жалобы, представления, представленных доказательств, объяснений лиц, участвующих в рассмотрении дела в суде апелляционной инстанции, обстоятельства дела, установленные судом апелляционной инстанции, выводы суда по результатам рассмотрения апелляционных жалобы, представления, мотивы, по которым суд пришел к своим выводам, и ссылку на законы, которыми суд руководствовался, а при оставлении апелляционных жалобы, представления без удовлетворения – указать мотивы, по которым доводы апелляционных жалобы, представления отклоняются, и не предполагают возможности их произвольного применения. Положения статьи 381 ГПК Российской Федерации во взаимосвязи с пунктом 5 статьи 383 данного Кодекса, предписывающим судье суда кассационной инстанции указывать мотивы, по которым отказано в передаче кассационной жалобы или представления для рассмотрения в судебном заседании суда кассационной инстанции, не предполагают необоснованного отклонения судом доводов жалобы или представления, обязывают судью суда кассационной инстанции при изучении кассационной жалобы или представления учитывать все приведенные заявителями доводы о допущенных нижестоящими судами при рассмотрении дел с их участием существенных нарушениях норм материального и процессуального права и направлены на обеспечение принятия законного и обоснованного решения. 3 Таким образом, оспариваемые заявителем часть третья статьи 329 и пункт 1 части второй статьи 381 ГПК Российской Федерации не могут расцениваться как нарушающие его конституционные права,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Ерченко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