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403741-П/2019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рядом норм Уголовно-процессуального кодекса Российской Федерации и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просит признать не соответствующими статьям 21 (часть 1), 23 (часть 1), 45, 46 (части 1 и 2), 49, 52, 53 и 54 (часть 2) Конституции Российской Федерации статьи 125 «Судебный порядок рассмотрения жалоб», 133 «Основания возникновения права на реабилитацию», 135 «Возмещение имущественного вреда», 137 «Обжалование решения о производстве выплат», 3895 «Порядок восстановления срока апелляционного обжалования», 38913 «Порядок рассмотрения уголовного дела судом апелляционной инстанции», 38915 «Основания отмены или изменения 2 судебного решения в апелляционном порядке», 38917 «Существенные нарушения уголовно-процессуального закона», 38920 «Решения, принимаемые судом апелляционной инстанции», 38923 «Отмена приговора и иных решений суда первой инстанции с вынесением нового судебного решения», 38928 «Апелляционные приговор, определение и постановление», 38933 «Постановление апелляционного приговора, вынесение апелляционных определения, постановления и обращение их к исполнению», 397 «Вопросы, подлежащие рассмотрению судом при исполнении приговора», 399 «Порядок разрешения вопросов, связанных с исполнением приговора», 4013 «Порядок подачи кассационных жалобы, представления», 4018 «Рассмотрение кассационных жалобы, представления, 40110 «Постановление судьи об отказе в передаче кассационных жалобы, представления для рассмотрения в судебном заседании суда кассационной инстанции» и 40115 «Основания отмены или изменения судебного решения при рассмотрении уголовного дела в кассационном порядке» УПК Российской Федерации, а также статьи 128 «Отказ в принятии административного искового заявления», 199 «Содержание определения суда», 201 «Направление или вручение лицам, участвующим в деле, копий определения суда», 202 «Порядок обжалования определения суда», 313 «Обжалование определений суда первой инстанции» и 316 «Полномочия суда апелляционной инстанции при рассмотрении частной жалобы, представления прокурора» КАС Российской Федерации. Как утверждает заявитель, данные нормы позволили вынести в отношении него судебные акты, нарушившие его право на охрану достоинства, затруднить ему доступ к правосудию и компенсации причиненного ущерба.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