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1180-П/2020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октября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Гусейнова Эльдара Афраиловича на нарушение его конституционных прав нормами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гражданина Э.А.Гусейнова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Вступившими в законную силу постановлениями судьи, рассмотревшего в порядке статьи 125 УПК Российской Федерации жалобы гражданина Э.А.Гусейнова, в их принятии отказано на том основании, что в них отсутствовал установленный данной нормой предмет проверки. Судом апелляционной инстанции эти судебные решения оставлены в силе. В этой связи Э.А.Гусейнов просит признать не соответствующими статье 46 Конституции Российской Федерации статьи 125 «Судебный порядок рассмотрения жалоб», 38913 «Порядок рассмотрения уголовного дела 2 судом апелляционной инстанции», 38920 «Решения, принимаемые судом апелляционной инстанции» и 38928 «Апелляционные приговор, определение и постановление» УПК Российской Федерации. По мнению заявителя, указанные нормы не обеспечили эффективность принимаемых решений с точки зрения гарантируемой ему возможности обратиться в суд.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Определениями от 25 апреля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Гусейнова Эльдара Афраиловича,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