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456941-П/2020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Петракович Надежды Васильевны на нарушение ее конституционных прав статьей 19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Н.В.Петракович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Н.В.Петракович, которой отказано в удовлетворении требования о признании ответчика утратившим право пользования жилым помещением, приобретенным ею на основании договора дарения, оспаривает конституционность статьи 19 Федерального закона от 29 декабря 2004 года № 189-ФЗ «О введении в действие Жилищного кодекса Российской Федерации», устанавливающей, что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2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 По мнению заявительницы, оспариваемое положение противоречит статьям 19 (части 1 и 2), 35 (части 1 и 2), 46 (часть 1) и 55 (часть 3) Конституции Российской Федерации, поскольку по смыслу, придаваемому ему правоприменительной практикой, оно позволяет после отчуждения жилого помещения сохранять право пользования им за лицами, вселенными в него с нарушением предусмотренного в статье 54 Жилищного кодекса РСФСР требования о получении письменного согласия всех совершеннолетних членов семьи нанимателя и не приобретшими прав члена семьи нанимателя.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Петракович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