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236709-П/2016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Седых Романа Николаевича на нарушение его конституционных прав частями первой и второй статьи 92 и частью первой статьи 204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Р.Н.Седых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92 УПК Российской Федерации определяет лишь порядок задержания подозреваемого и не регламентирует основания, порядок и условия избрания меры пресечения в виде заключения под стражу, а потому не может расцениваться как нарушающая права заявителя в обозначенном им аспекте. Что касается части первой статьи 204 УПК Российской Федерации, то она, устанавливая требования, предъявляемые к заключению эксперта, не регламентирует проверку и оценку доказательств и постановление судом приговора, а потому также не нарушает конституционные права заявителя в обозначенном им аспекте. Таким образом, жалоба Р.Н.Седых,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Седых Романа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