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489673-П/2020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255, 38915, 38920 и 38928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Э.А.Гусейнов, которому определением районного суда в составе коллегии из трех судей 27 апреля 2020 года в порядке статьи 255 УПК Российской Федерации продлен срок содержания под стражей на три месяца, с чем, в свою очередь, согласился суд апелляционной инстанции (постановление от 21 мая 2020 года, принятое судьей единолично), просит признать не соответствующими статьям 18, 22, 46 (части 1 и 2), 47 (часть 1), 49, 52, 64, 71, 123 и 125 Конституции Российской Федерации статьи 255 «Решение вопроса о мере пресечения», 38915 «Основания отмены или изменения судебного решения в апелляционном порядке», 38920 «Решения, принимаемые судом апелляционной 2 инстанции» и 38928 «Апелляционные приговор, определение и постановление» УПК Российской Федерации. По утверждению заявителя, данные нормы нарушают его права, поскольку позволили коллегии судей районного суда продлить срок его содержания под стражей по уголовному делу в качестве подсудимого и одновременно потерпевшего с нарушением правил территориальной подсудности, а суду апелляционной инстанции в составе одного судьи – признать такое решение законным и обоснованным.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3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