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431646-П/2019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В.В.Технюк, которому письмом судьи верховного суда республики в составе Российской Федерации от 17 декабря 2018 года возвращена без рассмотрения очередная жалоба об оспаривании вынесенных в его отношении в 2000 году судебных решений как повторная, поскольку данные решения уже выступали предметом проверки судьи и председателя этого суда, просит признать не соответствующей статьям 18, 45 (часть 2), 46 (части 1 и 2) и 50 (части 2 и 3) Конституции Российской Федерации статью 40117 «Недопустимость внесения повторных кассационных жалобы, 2 представления» УПК Российской Федерации,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По утверждению заявителя, данная норма нарушает его права, поскольку препятствует рассмотрению в том же суде кассационной инстанции очередной жалобы, поданной по иным правовым основаниям в целях пересмотра судебных решений в связи с существенными нарушениями закона, повлиявшими на исход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уже оспаривалась В.В.Технюком в аналогичном аспекте в его предшествующей жалобе, и по ней Конституционным Судом Российской Федерации было вынесено Определение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