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241330-П/2016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Павлова Ивана Александровича на нарушение его конституционных прав частью 1 статьи 12.26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И.А.Павлова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с момента вынесения и вступления в законную силу постановления по делу об административном правонарушении в отношении заявителя (копия единственного судебного акта, которая была приложена к жалобе) прошло более одного года, а потому его жалоба не может быть признана допустимой в силу требований статьи 97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Павлова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