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Чугунова Владимира Михайловича на нарушение его конституционных прав частью четвертой статьи 7, статьями 4018 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В.М.Чугунова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обращений к рассмотрению. Как следует из жалобы, заявитель вопреки требованию пункта 8 части второй статьи 37 Федерального конституционного закона «О Конституционном Суде Российской Федерации» не приводит правового обоснования неконституционности части четвертой статьи 7, статей 4018 и 40110 УПК Российской Федерации, а аргументирует свою позицию, лишь выражая несогласие с постановлением судьи, и тем самым, по сути, ставит перед Конституционным Судом Российской Федерации вопросы о проверке и оценке действий и решений правоприменителей, разрешение которых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Чугунова Владимира Михайловича,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