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517213-П/2021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«Страховая Компания «Ренессанс Жизнь» на нарушение его конституционных прав пунктом 2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«Страховая Компания «Ренессанс Жизнь»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четвертой статьи 392 ГПК Российской Федерации закрепляет дополнительную процессуальную гарантию защиты прав и охраняемых законом интересов участников гражданских процессуальных отношений. Данное законоположение не предполагает возможности его произвольного применения и не может расцениваться как нарушающее конституционные права заявителя. При этом необходимо учитывать указание суда в конкретном деле о том, что договор страхования, признанный впоследствии недействительным, не повлек принятия по нему незаконного решения. Оценка же правомерности выводов суда, к которым он пришел по результатам рассмотрения заявления ООО ««Страховая Компания «Ренессанс Жизнь», к компетенции Конституционного Суда Российской Федерации, как она определена в статье 125 Конституции Российской 3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«Страховая Компания «Ренессанс Жизнь»,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