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511789-П/2020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Черкуновой Натальи Алексеевны на нарушение ее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Н.А.Черкуновой вопрос о возможности принятия ее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Н.А.Черкунова, которой отказано в передаче для рассмотрения в судебном заседании суда кассационной инстанции жалоб об оспаривании принятых в порядке статьи 125 УПК Российской Федерации судебных решений, а также актов суда апелляционной инстанции (постановления Первого кассационного суда общей юрисдикции от 29 сентября, от 13 ноября и от 23 ноября 2020 года), просит признать не соответствующей Конституции Российской Федерации, в том числе ее статье 46 (части 1 и 2), часть первую статьи 125 «Судебный порядок рассмотрения жалоб» УПК Российской Федерации, которая, как полагает заявительница, препятствует обжалованию не связанных с уголовным преследованием 2 действий (бездействия) прокурора, полиции, если заявитель не признан в установленном законом порядке участником уголовного судопроизводства. Кроме того, Н.А.Черкунова просит отменить постановление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Вопрос о проверке конституционности части первой статьи 125 УПК Российской Федерации уже ставился Н.А.Черкуновой в ее предшествующих жалобах, по которым Конституционным Судом Российской Федерации вынесены определения от 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Черкуновой Натальи Алексеевны, поскольку они не отвечают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