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 статьям 45, 46 (части 1 и 2), 52 и 125 (часть 4) Конституции Российской Федерации пункт 1 части второй статьи 4018 «Рассмотрение кассационных жалобы, представления» УПК Российской Федерации. По утверждению заявителя, данная норма нарушила его права, поскольку позволила судье Алтайского краевого суда вынести постановление об отказе в передаче кассационной жалобы для рассмотрения в судебном заседании суда кассационной инстанции, не расценить Определение 2 Конституционного Суда Российской Федерации от 28 февраля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Определениями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