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431097-П/2019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частью первой статьи 305 Уголовного кодекса Российской Федерации, а также рядом норм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конституционность части первой статьи 305 «Вынесение заведомо неправосудных приговора, решения или иного судебного акта» УК Российской Федерации, а также статей 51 «Обязательное участие защитника», 125 «Судебный порядок рассмотрения жалоб», 144 «Порядок рассмотрения сообщения о преступлении», 145 «Решения, принимаемые по результатам рассмотрения сообщения о преступлении», 38913 «Порядок рассмотрения уголовного дела судом апелляционной инстанции», 38919 «Пределы прав суда апелляционной инстанции», 38920 «Решения, принимаемые судом апелляционной 2 инстанции» и 38928 «Апелляционные приговор, определение и постановление» УПК Российской Федерации. По мнению заявителя, указанные нормы не соответствуют статьям 1 (часть 1), 2, 4 (части 1 и 2), 5 (часть 3), 6 (часть 2), 10, 11, 15 (части 1, 2 и 4), 16 (часть 2), 17–19, 21 (часть 1), 45, 46 (части 1 и 2), 47 (часть 1), 48, 52, 71 (пункт «о»), 76 (часть 3), 84 (пункт «д»), 107, 112 (часть 1), 118, 120 (часть 1), 123 (часть 3), 125 (часть 6), 128 (часть 3) и 129 (часть 1) Конституции Российской Федерации, поскольку они нарушили его право на получение квалифицированной юридической помощи и право на судебную защиту.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Приведенные в жалобе Э.А.Гусейнова доводы свидетельствуют о том, что, формально оспаривая конституционность части первой статьи 305 УК Российской Федерации и уголовно-процессуальных норм, фактически он предлагает Конституционному Суду Российской Федерации оценить обоснованность и правильность вынесенных по его делу правоприменительных решений. Между тем разрешение такого рода вопросов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