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521193-П/2021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Черкуновой Натальи Алексеевны на нарушение ее конституционных прав пунктом 2 статьи 16 Закона Российской Федерации «О статусе судей в Российской Федерации», пунктом 2 статьи 1070 Гражданского кодекса Российской Федерации и пунктом 1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Н.А.Черкуновой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Н.А.Черкунова, которой было отказано в принятии искового заявления к судье районного суда о признании услуг (работ, товаров) некачественными, наложении дисциплинарного взыскания и компенсации морального вреда, оспаривает конституционность пункта 2 статьи 16 «Неприкосновенность судьи» Закона Российской Федерации от 26 июня 1992 года № 3132-I «О статусе судей в Российской Федерации», пункта 2 статьи 1070 «Ответственность за вред, причиненный незаконными 2 действиями органов дознания, предварительного следствия, прокуратуры и суда» ГК Российской Федерации и пункта 1 части первой статьи 134 «Отказ в принятии искового заявления» ГПК Российской Федерации. По мнению Н.А.Черкуновой, оспариваемые законоположения, исключающие возможность предъявления в порядке гражданского судопроизводства иска о проверке качества судебного акта, нарушают ее право на судебную защиту, а потому не соответствуют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определениями Конституционного Суда Российской Федерации от 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Черкуновой Натальи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