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305746-П/2017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Борщевского Александра Павловича на нарушение его конституционных прав частью второй статьи 3911 и пунктом 5 части первой статьи 3914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А.П.Борщевского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Гражданским процессуальным кодексом Российской Федерации, который устанавливает в оспариваемых законоположениях правила инстанционной подсудности гражданских дел Президиуму Верховного Суда Российской Федерации и последствия их нарушения. Как направленные на реализацию положений статьи 47 (часть 1) Конституции Российской Федерации о праве каждого на рассмотрение его дела в том суде и тем судьей, к подсудности которых оно отнесено законом, они не могут быть признаны нарушающими конституционное право заявителя на судебную защиту.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Борщевского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