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426215-П/2019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Потеряхина Владимира Викторовича на нарушение его конституционных прав частью первой статьи 357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В.В.Потеряхина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В.В.Потеряхин оспаривает конституционность части первой статьи 357 «Порядок восстановления срока обжалования» УПК Российской Федерации. Как следует из представленных материалов, оставленным без изменения постановлением городского суда от 6 сентября 2017 года В.В.Потеряхину отказано в удовлетворении ходатайства о восстановлении срока для подачи кассационной жалобы на приговор того же суда, вынесенный в его отношении 2 16 апреля 1996 года. Суд нашел несостоятельными доводы заявителя о наличии уважительных причин пропуска срока. По мнению заявителя, оспариваемая норма не соответствует статьям 19 (часть 1), 47 (часть 1), 46 и 123 (часть 3) Конституции Российской Федерации в той мере, в какой она позволяет судам расширительно толковать ее предписания, ссылаться на невозможность проверки доводов лица в связи с уничтожением помимо его воли материалов уголовного дела и ограничивая тем самым это лицо в доступе к правосудию.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Потеряхина Владимира Викторовича, поскольку законоположение, конституционность которого оспаривается, утратило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