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300657-П/2017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Томилина Виктора Семеновича на нарушение его конституционных прав частью 6 статьи 46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В.С.Томилина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часть 6 статьи 46 Жилищного кодекса Российской Федерации была применена судами в деле о признании недействительными решений общего собрания собственников помещений в многоквартирном доме, последнее судебное постановление по которому было принято 2 сентября 2016 года (определение судьи Верховного Суда Российской Федерации об отказе в передаче жалобы В.С.Томилина для рассмотрения в судебном заседании Судебной коллегии по гражданским делам Верховного Суда Российской Федерации № 44-КФ16-730). Жалоба В.С.Томилина была направлена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Томилина Виктора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