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судом возвращено его заявление о взыскании вреда и компенсации морального вреда, отказано в принятии заявления в части признания недействительными судебных постановлений, оспаривает конституционность примененных в деле с его участием пункта 1 части первой статьи 134 «Отказ в принятии искового заявления» и статей 136 «Оставление искового заявления без движения», 329 «Постановление суда апелляционной инстанции» (в редакции, действующей до вступления в силу Федерального закона от 28 ноября 2018 года № 451-ФЗ) и 334 «Полномочия суда апелляционной инстанции при рассмотрении частной жалобы, представления прокурора» ГПК Российской Федерации. 2 По мнению заявителя, оспариваемые законоположения не соответствуют статьям 17–19, 45, 46 (части 1 и 2) и 53 Конституции Российской Федерации, поскольку по смыслу, придаваемому им правоприменительной практикой, они являются препятствием для осуществления прав и свобод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