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426000-П/2019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«ГаВань» на нарушение конституционных прав и свобод статьями 286, 287 и 289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«ГаВань»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«ГаВань», которому решением арбитражного суда, оставленным без изменения судами апелляционной и кассационной инстанций, было отказано в удовлетворении требований о признании незаконным решения налогового органа о привлечении к ответственности за совершение налогового правонарушения, оспаривает конституционность статей 286 «Пределы рассмотрения дела в арбитражном суде кассационной инстанции», 287 «Полномочия арбитражного суда кассационной инстанции» и 289 «Постановление арбитражного суда кассационной инстанции» АПК Российской Федерации. 2 По мнению заявителя, данные взаимосвязанные нормы не соответствуют статьям 19 (часть 1), 21 (часть 1), 33, 45 и 46 (части 1 и 2) Конституции Российской Федерации в той мере, в какой по смыслу, придаваемому им правоприменительной практикой, они допускают рассмотрение арбитражным судом кассационной жалобы без оценки и опровержения всех приводимых в ней доводов.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ООО «ГаВань» статьи 286, 287 и 289 АПК Российской Федерации, прямо обязывающие арбитражный суд кассационной инстанции проверять законность решений, постановлений, принятых арбитражным судом первой и апелляционной инстанций,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доводов, содержащихся в кассационной жалобе и возражениях относительно жалобы, указывать мотивы принятого судебного акта, а также мотивы, по которым суд не применил законы и иные нормативные правовые акты, на которые ссылались лица, участвующие в деле, не предполагают произвольного их применения арбитражными судами кассационной инстанции при вынесении постановлений по итогам рассмотрения дел в кассационном порядке, направлены на обеспечение исправления в кассационном порядке допущенных нижестоящими арбитражными судами нарушений норм материального и процессуального права и сами по себе не могут расцениваться как нарушающие права и свободы заявителя, указанные в жалобе. Решение же вопроса о том, было ли при рассмотрении конкретного дела допущено нарушение норм права и привело ли такое нарушение к принятию неправильного судебного акта, предполагает установление фактических обстоятельств этого дела и к компетенции Конституционного Суда Российской Федерации, установленной статьей 125 Конституции 3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«ГаВань»,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