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1180-П/2019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просит признать не соответствующими Конституции Российской Федерации, в том числе ее статьям 15 (часть 4), 17 (часть 1), 45 и 46 (части 1 и 2), статьи 124 «Порядок рассмотрения жалобы прокурором, руководителем следственного органа», 125 «Судебный порядок рассмотрения жалоб», 38913 «Порядок рассмотрения уголовного дела судом апелляционной инстанции», 38919 «Пределы прав суда апелляционной инстанции», 38920 «Решения, принимаемые судом апелляционной инстанции» и 38928 «Апелляционные приговор, определение и 2 постановление» УПК Российской Федерации, как не являющиеся, по его мнению, эффективными на практике, и статью 4013 «Порядок подачи кассационных жалобы, представления» того же Кодекса, как лишившую заявителя доступа к правосудию в силу присущей ей, на его взгляд, неопределенности.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 Определениями от 25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