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378686-П/2018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Ламановой Зинаиды Андреевны на нарушение ее конституционных прав подпунктом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З.А.Ламановой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данной жалобы к рассмотрению. Содержащееся в подпункте 4 статьи 1109 ГК Российской Федерации положение, устанавливающее, что не подлежат возврату в качестве неосновательного обогащения денежные суммы и иное имущество, предоставленные во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благотворительности, направлено на обеспечение справедливого баланса интересов участников гражданского оборота и в качестве такового служит реализации предписаний статей 17 (часть 3), 35, 46 и 55 (часть 3) Конституции Российской Федерации, а потому само по себе не может расцениваться как нарушающее какие-либо конституционные права заявительницы. Проверка же правильности установления судом фактических обстоятельств конкретного дела, послуживших основанием к отказу в удовлетворении заявленных З.А.Ламановой требований, а тем самым – законности и обоснованности судебных постановлений, с которыми фактически выражает несогласие заявительница, не входит в полномочия 3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Ламановой Зинаиды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