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Ворониной Светланы Викторовны на нарушение ее конституционных прав пунктом 5.3 постановления Правительства Москвы «Об организации платных городских парковок в городе Москве»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С.В.Ворониной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гражданка С.В.Воронина дважды признавалась виновной в совершении административного правонарушения, предусмотренного частью 2 статьи 8.14 «Неуплата за размещение транспортного средства на платной городской парковке» Закона города Москвы от 21 ноября 2007 года № 45 «Кодекс города Москвы об административных правонарушениях». 2 Московский городской суд отказал заявительнице в принятии административного искового заявления, в котором она настаивала на признании недействующим пункта 5.3 постановления Правительства Москвы от 17 мая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рассмотрению, поскольку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проверка по жалобам граждан конституционности подзаконных нормативных актов субъектов Российской Федерации, к числу которых относится оспариваемое заявительницей постановление Правительства Москвы, не входит. Исходя из изложенного и руководствуясь частью второй статьи 40, пунктом 1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Ворониной Светланы Викторовны, поскольку разрешение поставленного в ней вопроса Конституционному Суду Российской Федерации не 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