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2693-П/2020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Э.А.Гусейнов, которому постановлением суда от 9 января 2020 года, оставленным без изменения вышестоящими судами, ввиду отсутствия предмета проверки по правилам статьи 125 «Судебный порядок рассмотрения жалоб» УПК Российской Федерации отказано в принятии к производству жалобы, поданной на ответ должностного лица органов прокуратуры, просит признать указанную норму не соответствующей статьям 45, 46 (части 1 и 2) и 125 (часть 4) Конституции Российской Федерации, как не регулирующую вследствие своей 2 неопределенности процедуру предварительного изучения жалобы, в рамках которой делаются выводы о наличии либо отсутствии в жалобе предмета обжалования.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Э.А.Гусейнов уже оспаривал конституционность статьи 125 УПК Российской Федерации в аналогичном аспекте в своей предшествующей жалобе, по которой Конституционным Судом Российской Федерации вынесено Определение от 24 октября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