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220488-П/2015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Олендарева Максима Борисовича на нарушение конституционных прав частью 2 статьи 1.7, пунктом 5 части 2 статьи 30.14, частью 3 статьи 30.15, частью 2 статьи 30.16, пунктами 7 и 9 части 1 статьи 30.18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М.Б.Олендарева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М.Б.Олендаревым материалы, не находит оснований для принятия его жалобы к рассмотрению. Статья 54 Конституции Российской Федерации в качестве конституционных принципов применения законов, устанавливающих ответственность за правонарушение, закрепляет общее правило, согласно которому ответственность за правонарушение определяется законом, действующим во время его совершения, и исключение из этого правила – в отношении закона, устраняющего или смягчающего ответственность. Как неоднократно отмечал в своих решениях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непосредственно не устанавливает какой-либо определенный порядок реализации указанного права;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Конституционного Суда Российской Федерации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Олендарева Максима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