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211043-П/2015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Норина Василия Сергеевича и Нориной Юлии Сергеевны на нарушение их конституционных прав, а также гражданки Нориной Оксаны Викторовны на нарушение ее конституционных прав и конституционных прав ее несовершеннолетних детей пунктом 162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 В.С.Норина, О.В.Нориной и Ю.С.Нориной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были удовлетворены исковые требования администрации муниципального образования к гражданам В.С.Норину, 2 О.В.Нориной и Ю.С.Нориной о возложении обязанности исполнить условия предварительного договора о безвозмездной передаче жилого помещения в муниципальную собственность; в удовлетворении встречных исковых требований граждан о расторжении предварительного договора о безвозмездной передаче жилого помещения в муниципальную собственность отказано. При этом доводы ответчиков о незаконности возложения на них обязанности по отчуждению жилого помещения ввиду его приобретения за счет средств материнского капитала признаны несостоятельными, поскольку, как указали суды, участвуя в федеральной целевой программе «Жилище» на 2011–2015 годы, ответчики были вправе отказаться от принятия на себя обязательства по безвозмездному отчуждению жилого помещения в муниципальную собственность.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Норина Василия Сергеевича, Нориной Оксаны Викторовны и Нориной Юлии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