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29429-П/2009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Кокорина Олега Валерьевича на нарушение его конституционных прав статьей 117 Семейного кодекса Российской Федерации, статьей 3 и частью второй статьи 5 Федерального закона «О минимальном размере оплаты труда»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С.М.Казанцева,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О.В.Кокорина,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в целях создания условий, обеспечивающих достойную жизнь и свободное развитие человека, в Российской Федерации устанавливается гарантированный минимальный размер оплаты труда, обеспечивается государственная поддержка семьи, материнства, отцовства и детства (статья 7, часть 2); материнство и детство, семья находятся под защитой государства, забота о детях, их воспитание – равное право и обязанность родителей (статья 38, части 1 и 2). Данные конституционные положения согласуются в полной мере с положениями статьи 27 Конвенции о правах ребенка 1989 года, в соответствии с которыми государства-участники признают право каждого ребенка на уровень жизни, необходимый для физического, умственного, духовного, нравственного и социального развития ребенка (пункт 1); родитель(и) или другие лица, воспитывающие ребенка, несут основную ответственность за обеспечение в пределах своих способностей и финансовых возможностей условий жизни, необходимых для развития ребенка (пункт 2). Приведенным положениям корреспондирует закрепленный в пункте 3 статьи 1 Семейного кодекса Российской Федерации принцип заботы о благосостоянии детей, обеспечения приоритетной защиты прав и интересов несовершеннолетних и нетрудоспособных членов семьи. Согласно пункту 2 статьи 83 данного Кодекса размер твердой денежной суммы взыскиваемых на несовершеннолетних детей алиментов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обстоятельств. Конституция Российской Федерации не конкретизирует порядок, условия и размер алиментных выплат трудоспособным родителем своему несовершеннолетнему ребенку, что в силу ее статьи 71 (пункт «в»), требующей от федерального законодателя осуществлять регулирование и защиту прав и 4 свобод человека и гражданина, предполагает установление в отраслевом законодательстве соответствующих эффективных правовых механизмов. Вопросы алиментных обязательств, в том числе размеров алиментных платежей, урегулированы в Семейном кодексе Российской Федерации, согласно которому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статьей 81 данного Кодекса) и в твердой денежной сумме (пункт 1 статьи 83); индексация алиментов, взыскиваемых по решению суда в твердой денежной сумме, производится администрацией организации по месту удержания алиментов пропорционально увеличению установленного законом минимального размера оплаты труда (пункт 1 статьи 117). Оспариваемые заявителем законоположения в системе действующего нормативно-правового регулирования, в том числе в системной связи с пунктом 1 статьи 119 данного Кодекса, в соответствии с которым плательщик алиментов имеет возможность обратиться с иском в суд об изменении установленного размера алиментов, а суд с учетом получаемых заявителем доходов, сочтя такие обязательные платежи чрезмерными, вправе принять решение об их уменьшении, направлены на сохранение как получателю, так и плательщику алиментов необходимого уровня жизни. Выбор же критериев индексации должен быть обусловлен правовой природой алиментных платежей и относится к дискреции законодателя. Таким образом, оспариваемые в жалобе О.В.Кокорина законоположения не могут рассматриваться как нарушающие конституционные права и свободы 5 граждан, уплачивающих алименты, поскольку имеют целью сохранение уровня жизнеобеспечения их получателя – несовершеннолетнего ребенка плательщика, в системе действующего нормативного правового регулирования направлены на соблюдение установленных Конституцией Российской Федерации и Конвенцией о правах ребенка принципов справедливости, равенства, соразмерности, а также стабильности, гарантированности и защиты прав и интересов нуждающихся в материальной поддержке граждан со стороны трудоспособных и обеспеченных в достаточной мере членов их семьи и не предполагают чрезмерное и неразумное обременение граждан, осуществляющих алиментные выплаты, взыскиваемые в твердой денежной сумме. Проверка же законности и обоснованности решений судов общей юрисдикции, принятых по результатам рассмотрения заявления О.В.Кокорина, являющегося лицом, обязанным уплачивать алименты своему несовершеннолетнему ребенку, к компетенции Конституционного Суда Российской Федерации, установленной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Что касается части второй статьи 5 Федерального закона «О минимальном размере оплаты труда», то она в конкретном деле заявителя не применялась и не подлежала применению, а потому его жалоба в этой части не соответствует требованиям статей 96 и 97 Федерального конституционного закона «О Конституционном Суде Российской Федерации» и также не является допустимой.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Кокорина Олега Валерьевича, поскольку она не отвечает требованиям Федерального 6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