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203061-П/2015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Капицына Александра Васильевича на нарушение его конституционных прав абзацем шестым части первой статьи 22 и абзацем четвертым части первой статьи 23 Закона Российской Федерации «О государственной тайне», а также рядом положений Инструкции о порядке допуска должностных лиц и граждан Российской Федерации к государственной тайне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А.В.Капицына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свободно искать, получать, передавать, производить и распространять информацию любым законным способом, в то же время предусматривает, что федеральным законом определяется перечень сведений, составляющих государственную тайну (статья 29, часть 4); права и свободы человека и гражданина могут быть ограничены федеральным законом в целях обеспечения обороны страны и безопасности государства (статья 55, часть 3). Отношения, возникающие в связи с отнесением сведений к государственной тайне, их засекречиванием или рассекречиванием и защитой в интересах обеспечения безопасности Российской Федерации, регулируются Законом Российской Федерации «О государственной тайне», который устанавливает порядок допуска должностных лиц и граждан к государственной тайне, основания для отказа к такому допуску, а также условия его прекращения (преамбула, статьи 21–23). Во исполнение пункта 3 статьи 4 данного Закона Российской Федерации постановлением Правительства Российской Федерации от 6 февраля 2010 года № 63 утверждены Инструкция о порядке допуска должностных лиц и граждан Российской Федерации к государственной тайне, а также формы учетной документации. 4 Исходя из взаимосвязанных положений абзаца шестого части первой статьи 22, абзаца четвертого части первой статьи 23 Закона Российской Федерации «О государственной тайне», подпункта «д» пункта 12 Инструкции о порядке допуска должностных лиц и граждан Российской Федерации к государственной тайне и пункта 12 формы 4 приложения к данной Инструкции допуск должностного лица или гражданина к государственной тайне может быть прекращен в случае сообщения им заведомо ложных данных в собственноручно заполненной анкете установленной формы, в том числе сведений о том, был ли гражданин ранее судим, в совершении какого преступления он был признан виновным и когда в отношении него был вынесен приговор. Таким образом, решение о прекращении допуска лица к государственной тайне принимается не в связи с наличием у него снятой судимости, а в связи с недостоверностью указанных им в анкете сведений, в том числе о фактах совершения им преступлений. При этом необходимо учитывать, что решение о прекращении допуска лица к государственной тайне и о расторжении на основании этого трудового договора с ним принимается руководителем предприятия по результатам проверочных мероприятий в индивидуальном порядке и может быть обжаловано в вышестоящую организацию или в суд (часть вторая статьи 22 названного Закона). Кроме того,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Капицына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