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48480-П/2010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Сарояна Андраника Камоевича на нарушение его конституционных прав положением части 1 статьи 15.25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А.К.Сарояна,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Российской Федерации гарантируются единство экономического пространства, свободное перемещение товаров, услуг и финансовых средств, а также признание и защита всех форм собственности (статья 8; статья 34, часть 1; статья 35 Конституции Российской Федерации). Данные конституционные предписания не препятствуют законодателю устанавливать 3 – с учетом публично-правового характера валютного регулирования в целях обеспечения реализации единой государственной валютной политики, устойчивости национальной валюты и стабильности внутреннего валютного рынка Российской Федерации – правила вывоза из Российской Федерации наличной иностранной валюты и валюты Российской Федерации, направленные на защиту национальных интересов в сфере оборота финансовых средств, обеспечения устойчивости рубля, осуществление финансового, валютного и таможенного регулирования, а также предусматривать за их неисполнение соответствующую ответственность. Устанавливая в части 3 статьи 15 Федерального закона «О валютном регулировании и валютном контроле» такие специальные правила, в том числе вводя запрет на единовременный вывоз валюты в сумме, превышающей в эквиваленте 10 000 долларов США (за исключением случаев документального подтверждения ввоза или перевода валюты в Российскую Федерацию ранее, при соблюдении требований таможенного законодательства), и ответственность за его нарушение (часть 1 статьи 15.25 КоАП Российской Федерации) в виде административного штрафа, законодатель определил его размер не в фиксированной сумме в рублях, а в долях (от трех четвертей до одного размера) от суммы незаконной валютной операции, что позволяет правоприменителям в полной мере учитывать все обстоятельства совершения административного правонарушения и назначить соразмерную ему ответственность. Вопрос о соразмерности назначенного наказания совершенному административному правонарушению неоднократно был предметом рассмотрения Конституционного Суда Российской Федерации. В частности, касаясь вопроса о конституционно-правовых критериях адекватности установленного статьей 273 Таможенного кодекса Российской Федерации (1993 года) наказания, а именно штрафа в размере от 100 до 200 процентов от стоимости товаров,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Сарояна Андраника Камоевича,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