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207030-П/2015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Селищева Валерия Анатольевича на нарушение его конституционных прав частью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В.А.Селищева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части 4 статьи 12.15 КоАП Российской Федерации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статьи. При этом для квалификации деяния в качестве правонарушения не имеет значения, в какой момент выезда на сторону дороги, предназначенную для встречного движения, транспортное средство располагалось на ней в нарушение указанных Правил. Именно на это ориентирует суды постановление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(в редакции постановления Пленума Верховного Суда Российской Федерации от 9 февраля 2012 года № 2), согласно пункту 8 которого по части 4 статьи 12.15 КоАП Российской Федерации подлежат 3 квалификации действия, которые связаны с нарушением водителями требований Правил дорожного движения,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Селищева Валерия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