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Цыбина Арсения Юрьевича на нарушение его конституционных прав статьями 30.12 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А.Ю.Цыбина,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А.Ю.Цыбиным материалы, не находит оснований для принятия его жалобы к рассмотрению. Согласно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свобод, оно признается и гарантируется согласно 3 общепризнанным принципам и нормам международного права (статьи 17 и 18; статья 46, части 1 и 2).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21 декабря 2006 года Выявляя конституционно-правовую природу производства в суде надзорной инстанции как правового института, Конституционный Суд Российской Федерации в ряде решений, в том числе в постановлениях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Цыбина Арсения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