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221182-П/2015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декабря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«Тертей-Флот» на нарушение конституционных прав и свобод статьей 29.10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ООО «Тертей- Флот»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Оспариваемая заявителем статья 29.10 КоАП Российской Федерации, устанавливая обязательные требования к содержанию постановления по делу об административном правонарушении, в частности необходимость изложения обстоятельств, установленных при рассмотрении дела, указания статьи данного Кодекса или закона субъекта Российской Федерации, предусматривающей административную ответственность за совершение административного правонарушения, либо оснований прекращения производства по делу, мотивированного решения по делу, закрепляет одну из фундаментальных процессуальных гарантий реализации права на государственную, в том числе судебную, защиту – мотивированность акта о привлечении к публично-правовой ответственности. Выполняя данные требования, судья, должностное лицо, уполномоченный орган должны указать в постановлении по делу об 4 административном правонарушении конкретное правило, нарушенное лицом, в отношении которого ведется производство по делу об административном правонарушении. При этом такое правило в силу специфики регулируемой деятельности может не только быть прямо закреплено в актах, которые отвечают традиционным критериям нормативных правовых актов, но и следовать из сложившегося правового режима осуществления деятельности, который известен (должен быть известен) лицам, профессионально занимающимся соответствующей деятельностью, как это имеет место, например, применительно к режиму судоходства. В связи с этим оспариваемое законоположение не может рассматриваться как нарушающее конституционные права заявителя, перечисленные в жалобе, в указанном им аспекте. Проверка же законности и обоснованности вынесенных по делу заявителя постановления по делу об административном правонарушении и решения по жалобе на данное постановление, в том числе с точки зрения того, были ли соблюдены требования к их составлению, а также того, мог ли и должен ли был быть известен заявителю запрет, нарушение которого повлекло привлечение к административной ответственности, в компетенцию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не входит.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«Тертей-Флот», поскольку она не отвечает требованиям Федерального конституционного закона «О Конституционном 5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