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233906-П/2016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Фаузетдиновой Руфины Афанасьевны на нарушение ее конституционных прав частью третьей статьи 11 Правил возмещения работодателями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и статьей 4 Федерального закона «О внесении изменений и дополнений в законодательные акты Российской Федерации о возмещении работодателями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Р.А.Фаузетдиновой к рассмотрению в заседании Конституционного Суда Российской Федерации,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 Статья 4 Федерального закона «О внесении изменений и дополнений в законодательные акты Российской Федерации о возмещении работодателями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обязанностей» направлена на обеспечение возможности перерасчета сумм возмещения вреда, причиненного в том числе профессиональным заболеванием, в интересах пострадавшего, носит гарантийный характер и не может рассматриваться как нарушающая права заявительницы. Осуществление же контроля за решениями правоприменительных органов, в том числе судов общей юрисдикции, включая оценку того, какая именно правовая норма подлежала применению в конкретном деле, не входит в полномочия Конституционного Суда Российской Федерации, как они установлены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пунктами 2 и 4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Фаузетдиновой Руфины Афанасьевны, поскольку она не отвечает требованиям Федерального конституционного закона «О Конституционном 5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