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23886-П/2010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Бутрим Татьяны Михайловны на нарушение ее конституционных прав пунктом 21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в соответствии с подпунктом 20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Ю.Д.Рудкина, Н.В.Селезнева, В.Г.Стрекозова, В.Г.Ярославцева, рассмотрев по требованию гражданки Т.М.Бутрим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Т.М.Бутрим материалы, не находит оснований для принятия ее жалобы к рассмотрению. В действующей системе пенсионного обеспечения установление для лиц, осуществлявших лечебную и иную деятельность по охране здоровья населения,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3 старости связывается не с любой работой,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Выделение в особую категорию лиц, имеющих право на досрочное пенсионное обеспечение по старости, отдельных работников, осуществляющих такую деятельность, фактически основанное на учете профиля выполняемой ими работы, само по себе не может расцениваться как нарушение принципа равенства всех перед законом либо как ограничение права граждан на пенсионное обеспечение. Согласно действовавшему до 1 ноября 1999 года правовому регулированию (Список профессий и должностей работников здравоохранения и санитарно-эпидемиологических учреждений, лечебная и иная работа которых по охране здоровья населения дает право на пенсию за выслугу лет, утвержденный постановлением Совета Министров РСФСР от 6 сентября 1991 года № 464) работа в должности медицинских сестер санатория (курорта) включалась в стаж работы, дающей право на назначение пенсии за выслугу лет, независимо от профиля данного учреждения. Постановлением правительства Российской Федерации от 22 сентября 1999 года № 1066 был утвержден новый Список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который вводился в действие на территории Российской Федерации с 1 ноября 1999 года и предусматривал включение в стаж, дающий право на назначение пенсии в связи с лечебной и иной работой по охране здоровья населения, работу в должности медицинских сестер санаториев (курортов) только определенного профиля (для лечения туберкулеза всех форм; для больных с последствиями полиомиелита; для гематологических больных; для лечения больных с 4 нарушениями опорно-двигательного аппарата; для больных ревматизмом; психоневрологические). Аналогичное правовое регулирование предусмотрено и оспариваемой нормой. Как указано в Определении Конституционного Суда Российской Федерации от 19 марта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Бутрим Татьяны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