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48705-П/2010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Семенова Василия Александровича на нарушение его конституционных прав главой 30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Г.А.Гаджиева, Ю.М.Данилова, Г.А.Жилина, С.М.Казанцева, М.И.Клеандрова, С.Д.Князева, А.Н.Кокотова, Л.О.Красавчиковой, Н.В.Мельникова, Ю.Д.Рудкина, Н.В.Селезнева, В.Г.Ярославцева, рассмотрев по требованию гражданина В.А.Семенова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В.А.Семеновым материалы, не находит оснований для принятия его жалобы к рассмотрению. Согласно Конституции Российской Федерации право на судебную защиту относится к основным неотчуждаемым правам и свободам человека и одновременно выступает гарантией всех других прав и свобод, оно признается и гарантируется согласно общепризнанным принципам и нормам международного права (статьи 17 и 18; статья 46, части 1 и 2). Выявляя конституционно-правовую природу производства в суде надзорной инстанции как правового института,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Семенова Василия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