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Алехиной Валентины Алексеевны на нарушение ее конституционных прав статьями 167, 168 и 302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В.А.Алехиной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определением суда апелляционной инстанции, были удовлетворены исковые требования прокурора к гражданке В.А.Алехиной и другим о признании недействительным договора безвозмездной передачи квартиры, истребовании имущества из чужого незаконного владения, выселении В.А.Алехиной из жилого помещения и погашении записей о государственной регистрации права собственности.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Постановлением от 21 апреля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Алехиной Валентины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