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23286-П/2010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Бессонова Романа Владимировича на нарушение его конституционных прав статьей 357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Р.В.Бессонова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357 УПК Российской Федерации наделяет лиц, имеющих право подать кассационные жалобу или представление, возможностью ходатайствовать перед судом, постановившим приговор или вынесшим иное обжалуемое решение, о восстановлении пропущенного срока подачи жалобы; в качестве основания для такого восстановления выступает уважительная причина пропуска срока обжалования (часть первая), в том числе получение стороной копии обжалуемого судебного решения по истечении 5 суток со дня его провозглашения (часть вторая); постановление судьи об отказе в восстановлении пропущенного срока может быть обжаловано в 3 вышестоящий суд (часть третья). Тем самым оспариваемая заявителем норма определяет лишь порядок восстановления срока обжалования и не регулирует вопрос о возможности оспаривания решения суда о восстановлении срока. При этом отсутствуют препятствия для проверки правомерности данного решения одновременно и в связи с рассмотрением кассационной жалобы по существу. Таким образом, оспариваемое законоположение права заявителя не нарушает,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Бессонова Романа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