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Матвеевой Светланы Викторовны на нарушение ее конституционных прав пунктом 3 статьи 64 Федерального закона «Об объектах культурного наследия (памятниках истории и культуры) народов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С.В.Матвеевой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закрепляет обязанность каждого заботиться о сохранении исторического и культурного наследия, беречь памятники истории и культуры (статья 44, часть 3). Эта конституционная обязанность конкретизирована в Федеральном законе «Об объектах культурного наследия (памятниках истории и культуры) народов Российской Федерации», который регулирует отношения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Федерации. В целях определения статуса памятников истории и культуры в соответствии с правовым регулированием, введенным указанным Федеральным законом, федеральный законодатель установил в нем переходные положения, в частности предусмотрев, что памятники истории и культуры местного значения, принятые на государственную охрану в соответствии с законодательными и иными правовыми актами СССР и РСФСР, относятся к объектам культурного наследия регионального значения, включенным в реестр, за исключением случаев 4 отнесения указанных памятников истории и культуры к объектам исторического и культурного наследия федерального (общероссийского) значения, с последующей регистрацией данных объектов в реестре в соответствии с требованиями данного Федерального закона (пункт 3 статьи 64). Таким образом, оспариваемое законоположение направлено исключительно на уточнение статуса памятников истории и культуры, принятых на государственную охрану в соответствии с законодательством, действовавшим до принятия Федерального закона «Об объектах культурного наследия (памятниках истории и культуры) народов Российской Федерации», и не регулирует вопросы действия и юридической силы актов, в соответствии с которыми памятники истории и культуры были приняты на государственную охрану. Следовательно, само по себе данное законоположение не может рассматриваться как нарушающее конституционные права заявительницы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Матвеевой Светланы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