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41719-П/2010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«Научно-производственный центр «Комэлектротех» на нарушение конституционных прав и свобод подпунктом 5 пункта 2 статьи 34626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ООО «Научно-производственный центр «Комэлектротех»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«Научно-производственный центр «Комэлектротех» материалы, не находит оснований для принятия его жалобы к рассмотрению. Федеральный законодатель, осуществляя налоговое регулирование на основании Конституции Российской Федерации, имеет дискреционные полномочия в выборе правовых средств, что позволяет ему учитывать особенности ведения налогоплательщиками предпринимательской деятельности, в том числе для целей системы налогообложения в виде единого налога на вмененный доход для отдельных видов деятельности (Определение Конституционного Суда Российской Федерации от 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«Научно-производственный центр «Комэлектротех»,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