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215388-П/2015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Кутьминова Евгения Борисовича на нарушение его конституционных прав статьей 4, частью четвертой статьи 406 и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Е.Б.Кутьминова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 УПК Российской Федерации, конкретизирующая общий принцип действия закона во времени, направлена на обеспечение правовой определенности и стабильности закона и сама по себе права граждан не затрагивает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Кутьминова Евгения Борисовича,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