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210891-П/2015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Ульянова Максима Евгеньевича на нарушение его конституционных прав частью восьмой статьи 251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М.Е.Ульянова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3 Положения части восьмой статьи 251 ГПК Российской Федерации, применяемые в системной связи со статьей 250 данного Кодекса, направлены на пресечение рассмотрения судами тождественных заявлений (о том же предмете и по тем же основаниям) об оспаривании нормативного правового акта в случае, когда его законность ранее уже проверялась судом по заявлениям других лиц, что вместе с тем не предполагает отказ суда в принятии заявления в случае, если основания, указанные в данном заявлении, отличаются от оснований ранее рассмотренного судом заявления о том же предмете, и, следовательно, не могут расцениваться как нарушающие конституционные права заявителя, перечисленные в жалобе. Проверка же того, совпадали ли основания, указанные М.Е.Ульяновым в заявлении об оспаривании нормативного правового акта, с основаниями, по которым этот акт проверялся ранее по требованию других лиц,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Ульянова Максима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